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F600D" w14:textId="370E5CF2" w:rsidR="00513983" w:rsidRDefault="00A75740"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233D0C5A" wp14:editId="14659D17">
            <wp:simplePos x="0" y="0"/>
            <wp:positionH relativeFrom="margin">
              <wp:posOffset>14716</wp:posOffset>
            </wp:positionH>
            <wp:positionV relativeFrom="paragraph">
              <wp:posOffset>38735</wp:posOffset>
            </wp:positionV>
            <wp:extent cx="961134" cy="1540581"/>
            <wp:effectExtent l="0" t="0" r="0" b="2540"/>
            <wp:wrapNone/>
            <wp:docPr id="1800884490" name="Obraz 2" descr="Obraz zawierający tekst, zrzut ekranu, Czcionka, design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0884490" name="Obraz 2" descr="Obraz zawierający tekst, zrzut ekranu, Czcionka, design&#10;&#10;Opis wygenerowany automatyczni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134" cy="15405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31F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CC2A93" wp14:editId="2F1AF1E6">
                <wp:simplePos x="0" y="0"/>
                <wp:positionH relativeFrom="column">
                  <wp:posOffset>1028065</wp:posOffset>
                </wp:positionH>
                <wp:positionV relativeFrom="paragraph">
                  <wp:posOffset>99060</wp:posOffset>
                </wp:positionV>
                <wp:extent cx="4519295" cy="551180"/>
                <wp:effectExtent l="0" t="0" r="0" b="127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9295" cy="551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C25DA02" w14:textId="77777777" w:rsidR="00AB7375" w:rsidRPr="00AB7375" w:rsidRDefault="00AB7375" w:rsidP="00AB7375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sz w:val="32"/>
                                <w:szCs w:val="32"/>
                              </w:rPr>
                            </w:pPr>
                            <w:r w:rsidRPr="00AB7375">
                              <w:rPr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lang w:val="en-CA"/>
                              </w:rPr>
                              <w:t>2</w:t>
                            </w:r>
                            <w:r w:rsidR="002B2CF8">
                              <w:rPr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lang w:val="en-CA"/>
                              </w:rPr>
                              <w:t>7</w:t>
                            </w:r>
                            <w:proofErr w:type="spellStart"/>
                            <w:r w:rsidRPr="00AB7375">
                              <w:rPr>
                                <w:b/>
                                <w:bCs/>
                                <w:color w:val="000000"/>
                                <w:kern w:val="24"/>
                                <w:position w:val="8"/>
                                <w:sz w:val="32"/>
                                <w:szCs w:val="32"/>
                                <w:vertAlign w:val="superscript"/>
                                <w:lang w:val="en-CA"/>
                              </w:rPr>
                              <w:t>th</w:t>
                            </w:r>
                            <w:proofErr w:type="spellEnd"/>
                            <w:r w:rsidR="00772632">
                              <w:rPr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lang w:val="en-CA"/>
                              </w:rPr>
                              <w:t xml:space="preserve"> </w:t>
                            </w:r>
                            <w:r w:rsidRPr="00AB7375">
                              <w:rPr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lang w:val="en-CA"/>
                              </w:rPr>
                              <w:t xml:space="preserve">IAHR International Symposium on Ice </w:t>
                            </w:r>
                          </w:p>
                          <w:p w14:paraId="63296E5E" w14:textId="7A10DC33" w:rsidR="00AB7375" w:rsidRPr="00AB7375" w:rsidRDefault="002B2CF8" w:rsidP="00AB7375">
                            <w:pPr>
                              <w:kinsoku w:val="0"/>
                              <w:overflowPunct w:val="0"/>
                              <w:textAlignment w:val="baseline"/>
                            </w:pPr>
                            <w:proofErr w:type="spellStart"/>
                            <w:r>
                              <w:rPr>
                                <w:i/>
                                <w:iCs/>
                                <w:color w:val="000000"/>
                                <w:kern w:val="24"/>
                                <w:lang w:val="en-CA"/>
                              </w:rPr>
                              <w:t>Gda</w:t>
                            </w:r>
                            <w:r w:rsidRPr="002B2CF8">
                              <w:rPr>
                                <w:i/>
                                <w:iCs/>
                                <w:color w:val="000000"/>
                                <w:kern w:val="24"/>
                                <w:lang w:val="en-CA"/>
                              </w:rPr>
                              <w:t>ń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kern w:val="24"/>
                                <w:lang w:val="en-CA"/>
                              </w:rPr>
                              <w:t>sk</w:t>
                            </w:r>
                            <w:proofErr w:type="spellEnd"/>
                            <w:r w:rsidR="00AB7375" w:rsidRPr="00AB7375">
                              <w:rPr>
                                <w:i/>
                                <w:iCs/>
                                <w:color w:val="000000"/>
                                <w:kern w:val="24"/>
                                <w:lang w:val="en-CA"/>
                              </w:rPr>
                              <w:t xml:space="preserve">, 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kern w:val="24"/>
                                <w:lang w:val="en-CA"/>
                              </w:rPr>
                              <w:t>Poland</w:t>
                            </w:r>
                            <w:r w:rsidR="00A7163F">
                              <w:rPr>
                                <w:i/>
                                <w:iCs/>
                                <w:color w:val="000000"/>
                                <w:kern w:val="24"/>
                                <w:lang w:val="en-CA"/>
                              </w:rPr>
                              <w:t>,</w:t>
                            </w:r>
                            <w:r w:rsidR="0038520A">
                              <w:rPr>
                                <w:i/>
                                <w:iCs/>
                                <w:color w:val="000000"/>
                                <w:kern w:val="24"/>
                                <w:lang w:val="en-CA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kern w:val="24"/>
                                <w:lang w:val="en-CA"/>
                              </w:rPr>
                              <w:t>9</w:t>
                            </w:r>
                            <w:r w:rsidR="00A7163F">
                              <w:rPr>
                                <w:i/>
                                <w:iCs/>
                                <w:color w:val="000000"/>
                                <w:kern w:val="24"/>
                                <w:lang w:val="en-CA"/>
                              </w:rPr>
                              <w:t xml:space="preserve"> – 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kern w:val="24"/>
                                <w:lang w:val="en-CA"/>
                              </w:rPr>
                              <w:t>1</w:t>
                            </w:r>
                            <w:r w:rsidR="002F1210">
                              <w:rPr>
                                <w:i/>
                                <w:iCs/>
                                <w:color w:val="000000"/>
                                <w:kern w:val="24"/>
                                <w:lang w:val="en-CA"/>
                              </w:rPr>
                              <w:t>3 June</w:t>
                            </w:r>
                            <w:r w:rsidR="00CD3F56" w:rsidRPr="00CD3F56">
                              <w:rPr>
                                <w:i/>
                                <w:iCs/>
                                <w:color w:val="000000"/>
                                <w:kern w:val="24"/>
                                <w:lang w:val="en-CA"/>
                              </w:rPr>
                              <w:t xml:space="preserve"> 202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kern w:val="24"/>
                                <w:lang w:val="en-CA"/>
                              </w:rPr>
                              <w:t>4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CC2A93" id="Rectangle 3" o:spid="_x0000_s1026" style="position:absolute;left:0;text-align:left;margin-left:80.95pt;margin-top:7.8pt;width:355.85pt;height:4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" filled="f" stroked="f">
                <v:textbox style="mso-fit-shape-to-text:t">
                  <w:txbxContent>
                    <w:p w14:paraId="4C25DA02" w14:textId="77777777" w:rsidR="00AB7375" w:rsidRPr="00AB7375" w:rsidRDefault="00AB7375" w:rsidP="00AB7375">
                      <w:pPr>
                        <w:kinsoku w:val="0"/>
                        <w:overflowPunct w:val="0"/>
                        <w:textAlignment w:val="baseline"/>
                        <w:rPr>
                          <w:sz w:val="32"/>
                          <w:szCs w:val="32"/>
                        </w:rPr>
                      </w:pPr>
                      <w:r w:rsidRPr="00AB7375">
                        <w:rPr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lang w:val="en-CA"/>
                        </w:rPr>
                        <w:t>2</w:t>
                      </w:r>
                      <w:r w:rsidR="002B2CF8">
                        <w:rPr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lang w:val="en-CA"/>
                        </w:rPr>
                        <w:t>7</w:t>
                      </w:r>
                      <w:proofErr w:type="spellStart"/>
                      <w:r w:rsidRPr="00AB7375">
                        <w:rPr>
                          <w:b/>
                          <w:bCs/>
                          <w:color w:val="000000"/>
                          <w:kern w:val="24"/>
                          <w:position w:val="8"/>
                          <w:sz w:val="32"/>
                          <w:szCs w:val="32"/>
                          <w:vertAlign w:val="superscript"/>
                          <w:lang w:val="en-CA"/>
                        </w:rPr>
                        <w:t>th</w:t>
                      </w:r>
                      <w:proofErr w:type="spellEnd"/>
                      <w:r w:rsidR="00772632">
                        <w:rPr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lang w:val="en-CA"/>
                        </w:rPr>
                        <w:t xml:space="preserve"> </w:t>
                      </w:r>
                      <w:r w:rsidRPr="00AB7375">
                        <w:rPr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lang w:val="en-CA"/>
                        </w:rPr>
                        <w:t xml:space="preserve">IAHR International Symposium on Ice </w:t>
                      </w:r>
                    </w:p>
                    <w:p w14:paraId="63296E5E" w14:textId="7A10DC33" w:rsidR="00AB7375" w:rsidRPr="00AB7375" w:rsidRDefault="002B2CF8" w:rsidP="00AB7375">
                      <w:pPr>
                        <w:kinsoku w:val="0"/>
                        <w:overflowPunct w:val="0"/>
                        <w:textAlignment w:val="baseline"/>
                      </w:pPr>
                      <w:proofErr w:type="spellStart"/>
                      <w:r>
                        <w:rPr>
                          <w:i/>
                          <w:iCs/>
                          <w:color w:val="000000"/>
                          <w:kern w:val="24"/>
                          <w:lang w:val="en-CA"/>
                        </w:rPr>
                        <w:t>Gda</w:t>
                      </w:r>
                      <w:r w:rsidRPr="002B2CF8">
                        <w:rPr>
                          <w:i/>
                          <w:iCs/>
                          <w:color w:val="000000"/>
                          <w:kern w:val="24"/>
                          <w:lang w:val="en-CA"/>
                        </w:rPr>
                        <w:t>ń</w:t>
                      </w:r>
                      <w:r>
                        <w:rPr>
                          <w:i/>
                          <w:iCs/>
                          <w:color w:val="000000"/>
                          <w:kern w:val="24"/>
                          <w:lang w:val="en-CA"/>
                        </w:rPr>
                        <w:t>sk</w:t>
                      </w:r>
                      <w:proofErr w:type="spellEnd"/>
                      <w:r w:rsidR="00AB7375" w:rsidRPr="00AB7375">
                        <w:rPr>
                          <w:i/>
                          <w:iCs/>
                          <w:color w:val="000000"/>
                          <w:kern w:val="24"/>
                          <w:lang w:val="en-CA"/>
                        </w:rPr>
                        <w:t xml:space="preserve">, </w:t>
                      </w:r>
                      <w:r>
                        <w:rPr>
                          <w:i/>
                          <w:iCs/>
                          <w:color w:val="000000"/>
                          <w:kern w:val="24"/>
                          <w:lang w:val="en-CA"/>
                        </w:rPr>
                        <w:t>Poland</w:t>
                      </w:r>
                      <w:r w:rsidR="00A7163F">
                        <w:rPr>
                          <w:i/>
                          <w:iCs/>
                          <w:color w:val="000000"/>
                          <w:kern w:val="24"/>
                          <w:lang w:val="en-CA"/>
                        </w:rPr>
                        <w:t>,</w:t>
                      </w:r>
                      <w:r w:rsidR="0038520A">
                        <w:rPr>
                          <w:i/>
                          <w:iCs/>
                          <w:color w:val="000000"/>
                          <w:kern w:val="24"/>
                          <w:lang w:val="en-CA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000000"/>
                          <w:kern w:val="24"/>
                          <w:lang w:val="en-CA"/>
                        </w:rPr>
                        <w:t>9</w:t>
                      </w:r>
                      <w:r w:rsidR="00A7163F">
                        <w:rPr>
                          <w:i/>
                          <w:iCs/>
                          <w:color w:val="000000"/>
                          <w:kern w:val="24"/>
                          <w:lang w:val="en-CA"/>
                        </w:rPr>
                        <w:t xml:space="preserve"> – </w:t>
                      </w:r>
                      <w:r>
                        <w:rPr>
                          <w:i/>
                          <w:iCs/>
                          <w:color w:val="000000"/>
                          <w:kern w:val="24"/>
                          <w:lang w:val="en-CA"/>
                        </w:rPr>
                        <w:t>1</w:t>
                      </w:r>
                      <w:r w:rsidR="002F1210">
                        <w:rPr>
                          <w:i/>
                          <w:iCs/>
                          <w:color w:val="000000"/>
                          <w:kern w:val="24"/>
                          <w:lang w:val="en-CA"/>
                        </w:rPr>
                        <w:t>3 June</w:t>
                      </w:r>
                      <w:r w:rsidR="00CD3F56" w:rsidRPr="00CD3F56">
                        <w:rPr>
                          <w:i/>
                          <w:iCs/>
                          <w:color w:val="000000"/>
                          <w:kern w:val="24"/>
                          <w:lang w:val="en-CA"/>
                        </w:rPr>
                        <w:t xml:space="preserve"> 202</w:t>
                      </w:r>
                      <w:r>
                        <w:rPr>
                          <w:i/>
                          <w:iCs/>
                          <w:color w:val="000000"/>
                          <w:kern w:val="24"/>
                          <w:lang w:val="en-CA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</w:p>
    <w:p w14:paraId="4A14D0AD" w14:textId="28B3A1F5" w:rsidR="00AB7375" w:rsidRDefault="00AB7375"/>
    <w:p w14:paraId="1B9663BA" w14:textId="5D827232" w:rsidR="00537FDB" w:rsidRDefault="00537FDB" w:rsidP="00537FDB">
      <w:pPr>
        <w:jc w:val="center"/>
        <w:rPr>
          <w:b/>
        </w:rPr>
      </w:pPr>
    </w:p>
    <w:p w14:paraId="737C991B" w14:textId="4C891DEE" w:rsidR="00C97ACD" w:rsidRDefault="00C97ACD" w:rsidP="00537FDB">
      <w:pPr>
        <w:jc w:val="center"/>
        <w:rPr>
          <w:b/>
        </w:rPr>
      </w:pPr>
    </w:p>
    <w:p w14:paraId="0E0A860A" w14:textId="41AA2305" w:rsidR="00AB7375" w:rsidRDefault="00AB7375" w:rsidP="00537FDB">
      <w:pPr>
        <w:jc w:val="center"/>
        <w:rPr>
          <w:b/>
        </w:rPr>
      </w:pPr>
    </w:p>
    <w:p w14:paraId="44C4F065" w14:textId="77777777" w:rsidR="00AB7375" w:rsidRDefault="00AB7375" w:rsidP="00537FDB">
      <w:pPr>
        <w:jc w:val="center"/>
        <w:rPr>
          <w:b/>
        </w:rPr>
      </w:pPr>
    </w:p>
    <w:p w14:paraId="52472676" w14:textId="77777777" w:rsidR="00537FDB" w:rsidRDefault="00537FDB" w:rsidP="00537FDB">
      <w:pPr>
        <w:jc w:val="center"/>
        <w:rPr>
          <w:b/>
        </w:rPr>
      </w:pPr>
    </w:p>
    <w:p w14:paraId="0E9B598F" w14:textId="3DDA1D9F" w:rsidR="00AB7375" w:rsidRDefault="00AB7375" w:rsidP="00537FDB">
      <w:pPr>
        <w:jc w:val="center"/>
        <w:rPr>
          <w:b/>
        </w:rPr>
      </w:pPr>
    </w:p>
    <w:p w14:paraId="78C76A82" w14:textId="77777777" w:rsidR="004506DA" w:rsidRDefault="004506DA" w:rsidP="00537FDB">
      <w:pPr>
        <w:jc w:val="center"/>
        <w:rPr>
          <w:b/>
          <w:sz w:val="28"/>
          <w:szCs w:val="28"/>
        </w:rPr>
      </w:pPr>
    </w:p>
    <w:p w14:paraId="154DF9D6" w14:textId="77777777" w:rsidR="005E139B" w:rsidRDefault="005E139B" w:rsidP="00537FDB">
      <w:pPr>
        <w:jc w:val="center"/>
        <w:rPr>
          <w:b/>
          <w:sz w:val="28"/>
          <w:szCs w:val="28"/>
        </w:rPr>
      </w:pPr>
    </w:p>
    <w:p w14:paraId="6B763CEA" w14:textId="77777777" w:rsidR="007124D6" w:rsidRDefault="007124D6" w:rsidP="00537FDB">
      <w:pPr>
        <w:jc w:val="center"/>
        <w:rPr>
          <w:b/>
          <w:sz w:val="28"/>
          <w:szCs w:val="28"/>
        </w:rPr>
      </w:pPr>
    </w:p>
    <w:p w14:paraId="320BC35C" w14:textId="77777777" w:rsidR="00AC1BB9" w:rsidRDefault="00AC1BB9" w:rsidP="00537FDB">
      <w:pPr>
        <w:jc w:val="center"/>
        <w:rPr>
          <w:b/>
          <w:sz w:val="28"/>
          <w:szCs w:val="28"/>
        </w:rPr>
      </w:pPr>
    </w:p>
    <w:p w14:paraId="08527F0F" w14:textId="77777777" w:rsidR="0088721C" w:rsidRPr="00784CBA" w:rsidRDefault="0088721C" w:rsidP="00537FDB">
      <w:pPr>
        <w:jc w:val="center"/>
        <w:rPr>
          <w:sz w:val="28"/>
          <w:szCs w:val="28"/>
        </w:rPr>
      </w:pPr>
      <w:r w:rsidRPr="00784CBA">
        <w:rPr>
          <w:b/>
          <w:sz w:val="28"/>
          <w:szCs w:val="28"/>
        </w:rPr>
        <w:t>Title of Paper (</w:t>
      </w:r>
      <w:r w:rsidR="00784CBA" w:rsidRPr="00784CBA">
        <w:rPr>
          <w:b/>
          <w:sz w:val="28"/>
          <w:szCs w:val="28"/>
        </w:rPr>
        <w:t xml:space="preserve">Times Roman Font, </w:t>
      </w:r>
      <w:r w:rsidRPr="00784CBA">
        <w:rPr>
          <w:b/>
          <w:sz w:val="28"/>
          <w:szCs w:val="28"/>
        </w:rPr>
        <w:t>centered, 14 pt bold)</w:t>
      </w:r>
    </w:p>
    <w:p w14:paraId="5FE125BC" w14:textId="77777777" w:rsidR="006117D8" w:rsidRDefault="006117D8" w:rsidP="00537FDB">
      <w:pPr>
        <w:jc w:val="center"/>
        <w:rPr>
          <w:rFonts w:ascii="Bookman Old Style" w:hAnsi="Bookman Old Style"/>
          <w:iCs/>
        </w:rPr>
      </w:pPr>
    </w:p>
    <w:p w14:paraId="5B717B7B" w14:textId="77777777" w:rsidR="00C97ACD" w:rsidRPr="0088721C" w:rsidRDefault="00C97ACD" w:rsidP="00537FDB">
      <w:pPr>
        <w:jc w:val="center"/>
        <w:rPr>
          <w:rFonts w:ascii="Bookman Old Style" w:hAnsi="Bookman Old Style"/>
          <w:iCs/>
        </w:rPr>
      </w:pPr>
    </w:p>
    <w:p w14:paraId="2B9B03E3" w14:textId="77777777" w:rsidR="00784CBA" w:rsidRDefault="00784CBA" w:rsidP="00537FDB">
      <w:pPr>
        <w:jc w:val="center"/>
      </w:pPr>
      <w:r>
        <w:rPr>
          <w:b/>
        </w:rPr>
        <w:t>Name of Author(s) (centered, 12 pt bold)</w:t>
      </w:r>
    </w:p>
    <w:p w14:paraId="74F0EC03" w14:textId="77777777" w:rsidR="00784CBA" w:rsidRDefault="00784CBA" w:rsidP="00537FDB">
      <w:pPr>
        <w:jc w:val="center"/>
        <w:rPr>
          <w:i/>
        </w:rPr>
      </w:pPr>
      <w:r>
        <w:rPr>
          <w:i/>
        </w:rPr>
        <w:t>Affiliation(s) (centered, 12 pt italic)</w:t>
      </w:r>
    </w:p>
    <w:p w14:paraId="599B130B" w14:textId="77777777" w:rsidR="00784CBA" w:rsidRDefault="0089086B" w:rsidP="00537FDB">
      <w:pPr>
        <w:jc w:val="center"/>
        <w:rPr>
          <w:i/>
        </w:rPr>
      </w:pPr>
      <w:r>
        <w:rPr>
          <w:i/>
        </w:rPr>
        <w:t>Address of Authors</w:t>
      </w:r>
      <w:r w:rsidR="00784CBA">
        <w:rPr>
          <w:i/>
        </w:rPr>
        <w:t xml:space="preserve"> (centered, 12 pt italic)</w:t>
      </w:r>
    </w:p>
    <w:p w14:paraId="2D3672D3" w14:textId="77777777" w:rsidR="00784CBA" w:rsidRDefault="00252A01" w:rsidP="00537FDB">
      <w:pPr>
        <w:jc w:val="center"/>
        <w:rPr>
          <w:i/>
        </w:rPr>
      </w:pPr>
      <w:r>
        <w:rPr>
          <w:i/>
        </w:rPr>
        <w:t>E</w:t>
      </w:r>
      <w:r w:rsidR="00784CBA">
        <w:rPr>
          <w:i/>
        </w:rPr>
        <w:t>mail address</w:t>
      </w:r>
      <w:r w:rsidR="0089086B">
        <w:rPr>
          <w:i/>
        </w:rPr>
        <w:t>es</w:t>
      </w:r>
      <w:r w:rsidR="00784CBA">
        <w:rPr>
          <w:i/>
        </w:rPr>
        <w:t xml:space="preserve"> (centered, 12 pt italic)</w:t>
      </w:r>
    </w:p>
    <w:p w14:paraId="1CDFDCB9" w14:textId="77777777" w:rsidR="00784CBA" w:rsidRDefault="00784CBA">
      <w:pPr>
        <w:rPr>
          <w:szCs w:val="20"/>
        </w:rPr>
      </w:pPr>
    </w:p>
    <w:p w14:paraId="53237767" w14:textId="77777777" w:rsidR="00784CBA" w:rsidRDefault="00784CBA">
      <w:pPr>
        <w:rPr>
          <w:szCs w:val="20"/>
        </w:rPr>
      </w:pPr>
    </w:p>
    <w:p w14:paraId="12A88E3A" w14:textId="77777777" w:rsidR="00C8042E" w:rsidRDefault="00C8042E">
      <w:pPr>
        <w:rPr>
          <w:szCs w:val="20"/>
        </w:rPr>
      </w:pPr>
    </w:p>
    <w:p w14:paraId="6764F872" w14:textId="77777777" w:rsidR="00C8042E" w:rsidRDefault="00C8042E">
      <w:pPr>
        <w:rPr>
          <w:szCs w:val="20"/>
        </w:rPr>
      </w:pPr>
    </w:p>
    <w:p w14:paraId="279C2227" w14:textId="77777777" w:rsidR="00C8042E" w:rsidRDefault="00C8042E" w:rsidP="00A22877">
      <w:r>
        <w:t>A succinct abstract</w:t>
      </w:r>
      <w:r w:rsidR="00233CF1">
        <w:t xml:space="preserve"> (</w:t>
      </w:r>
      <w:r w:rsidR="00233CF1">
        <w:rPr>
          <w:rFonts w:ascii="Arial" w:hAnsi="Arial" w:cs="Arial"/>
        </w:rPr>
        <w:t>~</w:t>
      </w:r>
      <w:r w:rsidR="00233CF1">
        <w:t>10</w:t>
      </w:r>
      <w:r w:rsidR="000757FB">
        <w:t>0-2</w:t>
      </w:r>
      <w:r w:rsidR="00233CF1">
        <w:t>00 words)</w:t>
      </w:r>
      <w:r w:rsidR="008B31FA">
        <w:t>, summarizing the paper,</w:t>
      </w:r>
      <w:r>
        <w:t xml:space="preserve"> should follow the list of author(s) and affiliation(s). The abstract is to be set in </w:t>
      </w:r>
      <w:r w:rsidR="0089086B">
        <w:t xml:space="preserve">Times Roman </w:t>
      </w:r>
      <w:r w:rsidR="000757FB">
        <w:t>12 pt regu</w:t>
      </w:r>
      <w:r w:rsidR="00252A01">
        <w:t>l</w:t>
      </w:r>
      <w:r w:rsidR="000757FB">
        <w:t>ar</w:t>
      </w:r>
      <w:r w:rsidR="00252A01">
        <w:t>,</w:t>
      </w:r>
      <w:r w:rsidR="00A22877">
        <w:t xml:space="preserve"> and fully justified</w:t>
      </w:r>
      <w:r>
        <w:t>.</w:t>
      </w:r>
      <w:r w:rsidR="008B31FA">
        <w:t xml:space="preserve"> </w:t>
      </w:r>
    </w:p>
    <w:p w14:paraId="54863955" w14:textId="77777777" w:rsidR="005745D5" w:rsidRDefault="005745D5" w:rsidP="005745D5"/>
    <w:p w14:paraId="3C5257B5" w14:textId="77777777" w:rsidR="005745D5" w:rsidRDefault="005745D5" w:rsidP="005745D5">
      <w:r>
        <w:t>Keywords: [4-6 keywords separated by a semicolon (e.g., hanging dam; frazil ice; stage; climate impact)]</w:t>
      </w:r>
    </w:p>
    <w:p w14:paraId="2BD70BDC" w14:textId="77777777" w:rsidR="00C8042E" w:rsidRDefault="00C8042E">
      <w:pPr>
        <w:rPr>
          <w:szCs w:val="20"/>
        </w:rPr>
      </w:pPr>
    </w:p>
    <w:p w14:paraId="73EEBAA7" w14:textId="77777777" w:rsidR="00C8042E" w:rsidRDefault="00C8042E">
      <w:pPr>
        <w:rPr>
          <w:szCs w:val="20"/>
        </w:rPr>
      </w:pPr>
    </w:p>
    <w:p w14:paraId="287BA0AA" w14:textId="77777777" w:rsidR="00C8042E" w:rsidRDefault="00C8042E">
      <w:pPr>
        <w:rPr>
          <w:szCs w:val="20"/>
        </w:rPr>
      </w:pPr>
    </w:p>
    <w:p w14:paraId="29CF674F" w14:textId="77777777" w:rsidR="00C8042E" w:rsidRDefault="00C8042E">
      <w:pPr>
        <w:rPr>
          <w:szCs w:val="20"/>
        </w:rPr>
      </w:pPr>
    </w:p>
    <w:p w14:paraId="14BB1B77" w14:textId="77777777" w:rsidR="00C8042E" w:rsidRDefault="00C8042E" w:rsidP="009E1BF4">
      <w:pPr>
        <w:rPr>
          <w:szCs w:val="20"/>
        </w:rPr>
      </w:pPr>
    </w:p>
    <w:p w14:paraId="69196EEF" w14:textId="77777777" w:rsidR="0089086B" w:rsidRDefault="0089086B">
      <w:pPr>
        <w:rPr>
          <w:szCs w:val="20"/>
        </w:rPr>
      </w:pPr>
    </w:p>
    <w:p w14:paraId="0FC1A457" w14:textId="77777777" w:rsidR="0089086B" w:rsidRDefault="0089086B">
      <w:pPr>
        <w:rPr>
          <w:szCs w:val="20"/>
        </w:rPr>
      </w:pPr>
    </w:p>
    <w:p w14:paraId="12CA4519" w14:textId="77777777" w:rsidR="0089086B" w:rsidRDefault="0089086B">
      <w:pPr>
        <w:rPr>
          <w:szCs w:val="20"/>
        </w:rPr>
      </w:pPr>
    </w:p>
    <w:p w14:paraId="74C978FD" w14:textId="77777777" w:rsidR="0089086B" w:rsidRDefault="0089086B">
      <w:pPr>
        <w:rPr>
          <w:szCs w:val="20"/>
        </w:rPr>
      </w:pPr>
    </w:p>
    <w:p w14:paraId="703388DA" w14:textId="77777777" w:rsidR="0089086B" w:rsidRDefault="0089086B">
      <w:pPr>
        <w:rPr>
          <w:szCs w:val="20"/>
        </w:rPr>
      </w:pPr>
    </w:p>
    <w:p w14:paraId="041618A6" w14:textId="77777777" w:rsidR="0089086B" w:rsidRDefault="0089086B">
      <w:pPr>
        <w:rPr>
          <w:szCs w:val="20"/>
        </w:rPr>
      </w:pPr>
    </w:p>
    <w:p w14:paraId="5EBC38BF" w14:textId="77777777" w:rsidR="0089086B" w:rsidRDefault="0089086B">
      <w:pPr>
        <w:rPr>
          <w:szCs w:val="20"/>
        </w:rPr>
      </w:pPr>
    </w:p>
    <w:p w14:paraId="75D9EA2D" w14:textId="77777777" w:rsidR="0089086B" w:rsidRDefault="0089086B">
      <w:pPr>
        <w:rPr>
          <w:szCs w:val="20"/>
        </w:rPr>
      </w:pPr>
    </w:p>
    <w:p w14:paraId="43F9A4AD" w14:textId="77777777" w:rsidR="0089086B" w:rsidRDefault="0089086B">
      <w:pPr>
        <w:rPr>
          <w:szCs w:val="20"/>
        </w:rPr>
      </w:pPr>
    </w:p>
    <w:p w14:paraId="5B2F6314" w14:textId="77777777" w:rsidR="00C8042E" w:rsidRDefault="00C8042E">
      <w:pPr>
        <w:rPr>
          <w:szCs w:val="20"/>
        </w:rPr>
      </w:pPr>
    </w:p>
    <w:p w14:paraId="43F8D520" w14:textId="77777777" w:rsidR="00C8042E" w:rsidRDefault="00C8042E">
      <w:pPr>
        <w:rPr>
          <w:szCs w:val="20"/>
        </w:rPr>
      </w:pPr>
    </w:p>
    <w:p w14:paraId="3C1504D1" w14:textId="77777777" w:rsidR="00C8042E" w:rsidRPr="008479A5" w:rsidRDefault="00252A01" w:rsidP="00C8042E">
      <w:pPr>
        <w:jc w:val="center"/>
        <w:rPr>
          <w:b/>
          <w:i/>
          <w:szCs w:val="20"/>
        </w:rPr>
      </w:pPr>
      <w:r>
        <w:rPr>
          <w:b/>
          <w:i/>
          <w:szCs w:val="20"/>
        </w:rPr>
        <w:t xml:space="preserve">Text (body) of paper </w:t>
      </w:r>
      <w:r w:rsidR="00C8042E" w:rsidRPr="008479A5">
        <w:rPr>
          <w:b/>
          <w:i/>
          <w:szCs w:val="20"/>
        </w:rPr>
        <w:t xml:space="preserve">begins </w:t>
      </w:r>
      <w:r w:rsidR="00C8042E" w:rsidRPr="00252A01">
        <w:rPr>
          <w:b/>
          <w:i/>
          <w:szCs w:val="20"/>
          <w:u w:val="single"/>
        </w:rPr>
        <w:t>on the next page</w:t>
      </w:r>
      <w:r w:rsidR="00C8042E" w:rsidRPr="008479A5">
        <w:rPr>
          <w:b/>
          <w:i/>
          <w:szCs w:val="20"/>
        </w:rPr>
        <w:t>.</w:t>
      </w:r>
    </w:p>
    <w:p w14:paraId="0D6697C0" w14:textId="77777777" w:rsidR="000E4D92" w:rsidRDefault="000E4D92" w:rsidP="00ED1B88">
      <w:pPr>
        <w:sectPr w:rsidR="000E4D92" w:rsidSect="00C50316">
          <w:footerReference w:type="default" r:id="rId8"/>
          <w:pgSz w:w="11907" w:h="16839" w:code="9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3D861B7" w14:textId="77777777" w:rsidR="00ED1B88" w:rsidRPr="0033178D" w:rsidRDefault="00ED1B88" w:rsidP="0033178D">
      <w:pPr>
        <w:rPr>
          <w:b/>
        </w:rPr>
      </w:pPr>
      <w:r w:rsidRPr="0033178D">
        <w:rPr>
          <w:b/>
        </w:rPr>
        <w:lastRenderedPageBreak/>
        <w:t>1. Each Section Title (numbered, flush left, 12 pt bold)</w:t>
      </w:r>
    </w:p>
    <w:p w14:paraId="0F296F78" w14:textId="77777777" w:rsidR="00ED1B88" w:rsidRDefault="004200E6" w:rsidP="00696CBD">
      <w:r>
        <w:t xml:space="preserve">The body text should be fully justified. </w:t>
      </w:r>
      <w:r w:rsidR="00ED1B88">
        <w:t xml:space="preserve">The </w:t>
      </w:r>
      <w:r w:rsidR="00AB7375">
        <w:t xml:space="preserve">font </w:t>
      </w:r>
      <w:r w:rsidR="004030B8">
        <w:t xml:space="preserve">is </w:t>
      </w:r>
      <w:r>
        <w:t>Times Roman</w:t>
      </w:r>
      <w:r w:rsidR="004030B8">
        <w:t xml:space="preserve"> 12 pt, with style (bold, regular, italics</w:t>
      </w:r>
      <w:r w:rsidR="00ED1B88">
        <w:t>) of the various parts</w:t>
      </w:r>
      <w:r w:rsidR="004030B8">
        <w:t xml:space="preserve"> of the paper</w:t>
      </w:r>
      <w:r>
        <w:t xml:space="preserve"> as indicated in this template.</w:t>
      </w:r>
    </w:p>
    <w:p w14:paraId="43A5F4BB" w14:textId="77777777" w:rsidR="00ED1B88" w:rsidRDefault="00ED1B88" w:rsidP="00ED1B88">
      <w:pPr>
        <w:spacing w:line="280" w:lineRule="exact"/>
      </w:pPr>
    </w:p>
    <w:p w14:paraId="50AA953B" w14:textId="77777777" w:rsidR="00ED1B88" w:rsidRDefault="00ED1B88" w:rsidP="00ED1B88">
      <w:r>
        <w:t>Paragraphs are to be separated by a blank line. Equations are to be indented 1</w:t>
      </w:r>
      <w:r w:rsidR="00696CBD">
        <w:t>/2</w:t>
      </w:r>
      <w:r>
        <w:t xml:space="preserve"> inch (</w:t>
      </w:r>
      <w:r w:rsidR="00696CBD">
        <w:t>1</w:t>
      </w:r>
      <w:r>
        <w:t>2</w:t>
      </w:r>
      <w:r w:rsidR="00696CBD">
        <w:t>.</w:t>
      </w:r>
      <w:r>
        <w:t xml:space="preserve">5 mm) and numbered </w:t>
      </w:r>
      <w:r w:rsidR="004E469B">
        <w:t xml:space="preserve">bold </w:t>
      </w:r>
      <w:r>
        <w:t xml:space="preserve">in square brackets, </w:t>
      </w:r>
      <w:r w:rsidR="00696CBD">
        <w:t xml:space="preserve">placed </w:t>
      </w:r>
      <w:r w:rsidR="00F124F7">
        <w:t>flush with the right-hand side, as follows:</w:t>
      </w:r>
    </w:p>
    <w:p w14:paraId="3B2BD678" w14:textId="77777777" w:rsidR="00ED1B88" w:rsidRDefault="00ED1B88" w:rsidP="00ED1B88">
      <w:pPr>
        <w:spacing w:line="280" w:lineRule="exact"/>
      </w:pPr>
    </w:p>
    <w:p w14:paraId="1BCF91DD" w14:textId="77777777" w:rsidR="00ED1B88" w:rsidRDefault="00ED1B88" w:rsidP="00ED1B88">
      <w:pPr>
        <w:tabs>
          <w:tab w:val="right" w:pos="9360"/>
        </w:tabs>
        <w:ind w:left="720"/>
      </w:pPr>
      <w:r>
        <w:t>F</w:t>
      </w:r>
      <w:r w:rsidR="002C1275">
        <w:t xml:space="preserve"> </w:t>
      </w:r>
      <w:r>
        <w:t>=</w:t>
      </w:r>
      <w:r w:rsidR="002C1275">
        <w:t xml:space="preserve"> </w:t>
      </w:r>
      <w:r>
        <w:t xml:space="preserve">ma </w:t>
      </w:r>
      <w:r>
        <w:tab/>
      </w:r>
      <w:r w:rsidRPr="004E469B">
        <w:rPr>
          <w:b/>
        </w:rPr>
        <w:t>[1]</w:t>
      </w:r>
    </w:p>
    <w:p w14:paraId="051B7DB7" w14:textId="77777777" w:rsidR="00ED1B88" w:rsidRDefault="00ED1B88" w:rsidP="00ED1B88">
      <w:pPr>
        <w:tabs>
          <w:tab w:val="left" w:pos="6540"/>
          <w:tab w:val="right" w:pos="8702"/>
        </w:tabs>
        <w:spacing w:line="280" w:lineRule="exact"/>
      </w:pPr>
    </w:p>
    <w:p w14:paraId="0AB29253" w14:textId="77777777" w:rsidR="00ED1B88" w:rsidRDefault="00ED1B88" w:rsidP="00ED1B88">
      <w:pPr>
        <w:ind w:right="150"/>
      </w:pPr>
      <w:r>
        <w:t>A blank line should be left before and after each equation.</w:t>
      </w:r>
    </w:p>
    <w:p w14:paraId="7FA44082" w14:textId="77777777" w:rsidR="00A46164" w:rsidRDefault="00A46164" w:rsidP="00ED1B88">
      <w:pPr>
        <w:ind w:right="150"/>
      </w:pPr>
    </w:p>
    <w:p w14:paraId="5B4BAA92" w14:textId="77777777" w:rsidR="00A46164" w:rsidRDefault="00A46164" w:rsidP="00ED1B88">
      <w:pPr>
        <w:ind w:right="150"/>
      </w:pPr>
      <w:r>
        <w:t>Citations in the text should be: a</w:t>
      </w:r>
      <w:r w:rsidR="00676295">
        <w:t>uthor (year) or (author year). A</w:t>
      </w:r>
      <w:r w:rsidRPr="008B31FA">
        <w:rPr>
          <w:i/>
        </w:rPr>
        <w:t>ll</w:t>
      </w:r>
      <w:r>
        <w:t xml:space="preserve"> citations </w:t>
      </w:r>
      <w:r w:rsidR="00676295">
        <w:t xml:space="preserve">should </w:t>
      </w:r>
      <w:r>
        <w:t>have a corresponding entry in the references section.</w:t>
      </w:r>
    </w:p>
    <w:p w14:paraId="00DB79E3" w14:textId="77777777" w:rsidR="00D0417C" w:rsidRDefault="00D0417C" w:rsidP="00ED1B88"/>
    <w:p w14:paraId="7EDF9A94" w14:textId="77777777" w:rsidR="007C0793" w:rsidRDefault="007C0793" w:rsidP="007C0793">
      <w:r>
        <w:t>Figures and Tables can be placed throughout the body of the text or at the end of the paper. The word “Figure” or “Table” (and number) followed by a period should be bold with the rest of the caption text as regular (not bold)</w:t>
      </w:r>
      <w:r w:rsidR="003E709C">
        <w:t>, fully justified</w:t>
      </w:r>
      <w:r>
        <w:t>, as follows:</w:t>
      </w:r>
    </w:p>
    <w:p w14:paraId="633A2AE8" w14:textId="77777777" w:rsidR="00676295" w:rsidRDefault="00676295" w:rsidP="00676295">
      <w:pPr>
        <w:rPr>
          <w:b/>
        </w:rPr>
      </w:pPr>
    </w:p>
    <w:p w14:paraId="498CF77F" w14:textId="77777777" w:rsidR="007C0793" w:rsidRDefault="007C0793" w:rsidP="00676295">
      <w:r w:rsidRPr="00A22877">
        <w:rPr>
          <w:b/>
        </w:rPr>
        <w:t>Figure 1.</w:t>
      </w:r>
      <w:r>
        <w:t xml:space="preserve"> </w:t>
      </w:r>
      <w:r w:rsidR="00676295">
        <w:t>Example of a failure envelope for two ice types. Stresses (</w:t>
      </w:r>
      <w:r w:rsidR="00676295" w:rsidRPr="00676295">
        <w:rPr>
          <w:rFonts w:ascii="Symbol" w:hAnsi="Symbol"/>
        </w:rPr>
        <w:t></w:t>
      </w:r>
      <w:r w:rsidR="00676295">
        <w:t>) along x, y and z are taken into consideration. Positive and negative stresses are tensile and compressive, respectively.</w:t>
      </w:r>
    </w:p>
    <w:p w14:paraId="3FFFAE96" w14:textId="77777777" w:rsidR="007C0793" w:rsidRDefault="007C0793" w:rsidP="007C0793">
      <w:r w:rsidRPr="00D06A45">
        <w:rPr>
          <w:b/>
        </w:rPr>
        <w:t>Table 8.</w:t>
      </w:r>
      <w:r>
        <w:t xml:space="preserve"> Ice thickness calibration coefficients.</w:t>
      </w:r>
    </w:p>
    <w:p w14:paraId="4ED9761A" w14:textId="77777777" w:rsidR="007C0793" w:rsidRDefault="007C0793" w:rsidP="007C0793"/>
    <w:p w14:paraId="07949379" w14:textId="77777777" w:rsidR="007C0793" w:rsidRDefault="007C0793" w:rsidP="007C0793">
      <w:r>
        <w:t>Labels and captions for figures should be placed</w:t>
      </w:r>
      <w:r w:rsidRPr="002C1275">
        <w:t xml:space="preserve"> </w:t>
      </w:r>
      <w:r w:rsidRPr="002C1275">
        <w:rPr>
          <w:u w:val="single"/>
        </w:rPr>
        <w:t>below</w:t>
      </w:r>
      <w:r>
        <w:t xml:space="preserve"> the figure while those for tables should be placed </w:t>
      </w:r>
      <w:r w:rsidRPr="002C1275">
        <w:rPr>
          <w:u w:val="single"/>
        </w:rPr>
        <w:t>above</w:t>
      </w:r>
      <w:r>
        <w:t xml:space="preserve"> the table.</w:t>
      </w:r>
      <w:r w:rsidR="00676295">
        <w:t xml:space="preserve"> </w:t>
      </w:r>
      <w:r w:rsidR="00676295" w:rsidRPr="00676295">
        <w:rPr>
          <w:i/>
        </w:rPr>
        <w:t>All</w:t>
      </w:r>
      <w:r w:rsidRPr="00F763C0">
        <w:t xml:space="preserve"> figures</w:t>
      </w:r>
      <w:r w:rsidRPr="008B31FA">
        <w:t>/tables</w:t>
      </w:r>
      <w:r w:rsidR="00676295">
        <w:t xml:space="preserve"> should be</w:t>
      </w:r>
      <w:r>
        <w:t xml:space="preserve"> referred to in the text.</w:t>
      </w:r>
    </w:p>
    <w:p w14:paraId="69EA3C21" w14:textId="77777777" w:rsidR="007C0793" w:rsidRDefault="007C0793" w:rsidP="00ED1B88">
      <w:pPr>
        <w:rPr>
          <w:b/>
        </w:rPr>
      </w:pPr>
    </w:p>
    <w:p w14:paraId="5A11C083" w14:textId="77777777" w:rsidR="00ED1B88" w:rsidRPr="00AC46D7" w:rsidRDefault="00ED1B88" w:rsidP="00ED1B88">
      <w:pPr>
        <w:rPr>
          <w:b/>
        </w:rPr>
      </w:pPr>
      <w:r w:rsidRPr="00AC46D7">
        <w:rPr>
          <w:b/>
        </w:rPr>
        <w:t>Acknowledgments (</w:t>
      </w:r>
      <w:r w:rsidR="00F124F7" w:rsidRPr="00AC46D7">
        <w:rPr>
          <w:b/>
        </w:rPr>
        <w:t xml:space="preserve">no number, </w:t>
      </w:r>
      <w:r w:rsidR="00AC46D7" w:rsidRPr="00AC46D7">
        <w:rPr>
          <w:b/>
        </w:rPr>
        <w:t>flush left, 12 pt bold</w:t>
      </w:r>
      <w:r w:rsidRPr="00AC46D7">
        <w:rPr>
          <w:b/>
        </w:rPr>
        <w:t xml:space="preserve">) </w:t>
      </w:r>
    </w:p>
    <w:p w14:paraId="76134B76" w14:textId="77777777" w:rsidR="00D0417C" w:rsidRDefault="00ED1B88" w:rsidP="00ED1B88">
      <w:r>
        <w:t>To be included if there are any individuals or funding sources to be acknowledged</w:t>
      </w:r>
      <w:r w:rsidR="008B31FA">
        <w:t>.</w:t>
      </w:r>
    </w:p>
    <w:p w14:paraId="5D42E0F5" w14:textId="77777777" w:rsidR="00696CBD" w:rsidRDefault="00696CBD" w:rsidP="00ED1B88"/>
    <w:p w14:paraId="69BCF0D7" w14:textId="77777777" w:rsidR="00ED1B88" w:rsidRDefault="00F124F7" w:rsidP="00ED1B88">
      <w:pPr>
        <w:rPr>
          <w:b/>
        </w:rPr>
      </w:pPr>
      <w:r w:rsidRPr="00AC46D7">
        <w:rPr>
          <w:b/>
        </w:rPr>
        <w:t xml:space="preserve">References (no number, </w:t>
      </w:r>
      <w:r w:rsidR="00AC46D7" w:rsidRPr="00AC46D7">
        <w:rPr>
          <w:b/>
        </w:rPr>
        <w:t>flush left, 12 pt bold</w:t>
      </w:r>
      <w:r w:rsidR="00ED1B88" w:rsidRPr="00AC46D7">
        <w:rPr>
          <w:b/>
        </w:rPr>
        <w:t xml:space="preserve">) </w:t>
      </w:r>
    </w:p>
    <w:p w14:paraId="10706025" w14:textId="77777777" w:rsidR="002320EE" w:rsidRPr="00AC46D7" w:rsidRDefault="006D4178" w:rsidP="00ED1B88">
      <w:pPr>
        <w:rPr>
          <w:b/>
        </w:rPr>
      </w:pPr>
      <w:r>
        <w:t>Examples of</w:t>
      </w:r>
      <w:r w:rsidR="00A46164">
        <w:t xml:space="preserve"> format in</w:t>
      </w:r>
      <w:r w:rsidR="002320EE">
        <w:t xml:space="preserve"> the </w:t>
      </w:r>
      <w:r w:rsidR="00A46164">
        <w:t xml:space="preserve">reference </w:t>
      </w:r>
      <w:r w:rsidR="00C7385C">
        <w:t>section</w:t>
      </w:r>
      <w:r>
        <w:t xml:space="preserve"> are as follows</w:t>
      </w:r>
      <w:r w:rsidR="002320EE">
        <w:t>:</w:t>
      </w:r>
    </w:p>
    <w:p w14:paraId="42251E78" w14:textId="77777777" w:rsidR="008B31FA" w:rsidRDefault="008B31FA" w:rsidP="008B31FA">
      <w:pPr>
        <w:ind w:left="720" w:hanging="720"/>
      </w:pPr>
      <w:proofErr w:type="spellStart"/>
      <w:r w:rsidRPr="008B31FA">
        <w:t>Beltaos</w:t>
      </w:r>
      <w:proofErr w:type="spellEnd"/>
      <w:r w:rsidRPr="008B31FA">
        <w:t xml:space="preserve"> S. and Burrell B.C., 2015, Hydrotechnical advances in Canadian river ice science and engineering during the past 35 years. Canadian Journal o</w:t>
      </w:r>
      <w:r w:rsidR="00AC46D7">
        <w:t>f Civil Engineering, 42, p.</w:t>
      </w:r>
      <w:r w:rsidR="00ED4BAF">
        <w:t> </w:t>
      </w:r>
      <w:r w:rsidR="00AC46D7">
        <w:t>583</w:t>
      </w:r>
      <w:r w:rsidR="00AC46D7">
        <w:noBreakHyphen/>
      </w:r>
      <w:r w:rsidRPr="008B31FA">
        <w:t>591.</w:t>
      </w:r>
    </w:p>
    <w:p w14:paraId="250EAFD2" w14:textId="77777777" w:rsidR="00AC46D7" w:rsidRDefault="00AC46D7" w:rsidP="008B31FA">
      <w:pPr>
        <w:ind w:left="720" w:hanging="720"/>
      </w:pPr>
      <w:r w:rsidRPr="00AC46D7">
        <w:t>Kubat I., Fowler D. and Sayed M., 2015, Floating ice and ice pressure challenge to ships. In:</w:t>
      </w:r>
      <w:r>
        <w:t> </w:t>
      </w:r>
      <w:r w:rsidRPr="00AC46D7">
        <w:t xml:space="preserve">W. </w:t>
      </w:r>
      <w:proofErr w:type="spellStart"/>
      <w:r w:rsidRPr="00AC46D7">
        <w:t>Haeberli</w:t>
      </w:r>
      <w:proofErr w:type="spellEnd"/>
      <w:r w:rsidRPr="00AC46D7">
        <w:t xml:space="preserve"> and </w:t>
      </w:r>
      <w:r w:rsidR="00976105">
        <w:t>C. Whiteman (Editors), Snow and ice-related hazards, r</w:t>
      </w:r>
      <w:r w:rsidRPr="00AC46D7">
        <w:t xml:space="preserve">isks, and </w:t>
      </w:r>
      <w:r w:rsidR="00976105">
        <w:t>d</w:t>
      </w:r>
      <w:r w:rsidRPr="00AC46D7">
        <w:t>isasters. Elsevier, New York, p. 647-676.</w:t>
      </w:r>
    </w:p>
    <w:p w14:paraId="3F7BD70B" w14:textId="77777777" w:rsidR="002C1275" w:rsidRDefault="00B96D70" w:rsidP="00ED1B88">
      <w:pPr>
        <w:ind w:left="720" w:hanging="720"/>
      </w:pPr>
      <w:r>
        <w:t>Li</w:t>
      </w:r>
      <w:r w:rsidR="002C1275">
        <w:t xml:space="preserve"> M.,</w:t>
      </w:r>
      <w:r w:rsidR="00781D59">
        <w:t xml:space="preserve"> Wu H., and Chen</w:t>
      </w:r>
      <w:r w:rsidR="0038376B">
        <w:t xml:space="preserve"> </w:t>
      </w:r>
      <w:r w:rsidR="00781D59">
        <w:t>W.F.,</w:t>
      </w:r>
      <w:r w:rsidR="002C1275">
        <w:t xml:space="preserve"> 2008. Format for preparation of camera</w:t>
      </w:r>
      <w:r w:rsidR="002C1275">
        <w:noBreakHyphen/>
        <w:t>ready papers. Proc</w:t>
      </w:r>
      <w:r w:rsidR="008B31FA">
        <w:t>.</w:t>
      </w:r>
      <w:r w:rsidR="002C1275">
        <w:t xml:space="preserve"> 19</w:t>
      </w:r>
      <w:r w:rsidR="002C1275" w:rsidRPr="002C1275">
        <w:rPr>
          <w:vertAlign w:val="superscript"/>
        </w:rPr>
        <w:t>th</w:t>
      </w:r>
      <w:r w:rsidR="002C1275">
        <w:t xml:space="preserve"> IAHR Symposium on Ice, </w:t>
      </w:r>
      <w:r>
        <w:t>Dalian</w:t>
      </w:r>
      <w:r w:rsidR="002C1275">
        <w:t>, C</w:t>
      </w:r>
      <w:r>
        <w:t>hina</w:t>
      </w:r>
      <w:r w:rsidR="002C1275">
        <w:t>. 1-</w:t>
      </w:r>
      <w:r>
        <w:t>8</w:t>
      </w:r>
      <w:r w:rsidR="002C1275">
        <w:t>.</w:t>
      </w:r>
    </w:p>
    <w:p w14:paraId="0CF58CFA" w14:textId="77777777" w:rsidR="00AC46D7" w:rsidRDefault="0038376B" w:rsidP="00ED1B88">
      <w:pPr>
        <w:ind w:left="720" w:hanging="720"/>
      </w:pPr>
      <w:proofErr w:type="spellStart"/>
      <w:r>
        <w:t>Løset</w:t>
      </w:r>
      <w:proofErr w:type="spellEnd"/>
      <w:r>
        <w:t xml:space="preserve"> S., </w:t>
      </w:r>
      <w:proofErr w:type="spellStart"/>
      <w:r>
        <w:t>Shkhinek</w:t>
      </w:r>
      <w:proofErr w:type="spellEnd"/>
      <w:r>
        <w:t xml:space="preserve"> K.N., </w:t>
      </w:r>
      <w:proofErr w:type="spellStart"/>
      <w:r>
        <w:t>Gudmestad</w:t>
      </w:r>
      <w:proofErr w:type="spellEnd"/>
      <w:r w:rsidR="00AC46D7" w:rsidRPr="00AC46D7">
        <w:t xml:space="preserve"> O.T. and Høy</w:t>
      </w:r>
      <w:r>
        <w:t>land</w:t>
      </w:r>
      <w:r w:rsidR="00976105">
        <w:t xml:space="preserve"> K.V., 2006, Actions from i</w:t>
      </w:r>
      <w:r w:rsidR="00AC46D7" w:rsidRPr="00AC46D7">
        <w:t xml:space="preserve">ce on Arctic </w:t>
      </w:r>
      <w:r w:rsidR="00976105">
        <w:t>offshore and coastal st</w:t>
      </w:r>
      <w:r w:rsidR="00AC46D7" w:rsidRPr="00AC46D7">
        <w:t>ructures.</w:t>
      </w:r>
      <w:r w:rsidR="00ED4BAF">
        <w:t xml:space="preserve"> Krasnodar, St. Petersburg, 271 </w:t>
      </w:r>
      <w:r w:rsidR="00AC46D7" w:rsidRPr="00AC46D7">
        <w:t>p.</w:t>
      </w:r>
    </w:p>
    <w:p w14:paraId="432E0D57" w14:textId="77777777" w:rsidR="007C0793" w:rsidRDefault="007C0793" w:rsidP="00ED1B88">
      <w:pPr>
        <w:rPr>
          <w:b/>
        </w:rPr>
      </w:pPr>
    </w:p>
    <w:p w14:paraId="58C29720" w14:textId="77777777" w:rsidR="006B54EB" w:rsidRDefault="006B54EB" w:rsidP="00ED1B88">
      <w:pPr>
        <w:rPr>
          <w:b/>
        </w:rPr>
      </w:pPr>
      <w:r>
        <w:rPr>
          <w:b/>
        </w:rPr>
        <w:t xml:space="preserve">Paper </w:t>
      </w:r>
      <w:r w:rsidRPr="006B54EB">
        <w:rPr>
          <w:b/>
        </w:rPr>
        <w:t>Length</w:t>
      </w:r>
    </w:p>
    <w:p w14:paraId="2BAE297C" w14:textId="77777777" w:rsidR="00A7163F" w:rsidRDefault="000757FB" w:rsidP="00ED1B88">
      <w:r>
        <w:t>Maximum p</w:t>
      </w:r>
      <w:r w:rsidR="006B54EB">
        <w:t>aper length</w:t>
      </w:r>
      <w:r w:rsidR="00940C61">
        <w:t xml:space="preserve"> </w:t>
      </w:r>
      <w:r>
        <w:t>is</w:t>
      </w:r>
      <w:r w:rsidR="00070D06">
        <w:t xml:space="preserve"> </w:t>
      </w:r>
      <w:r w:rsidR="005745D5" w:rsidRPr="004030B8">
        <w:rPr>
          <w:b/>
        </w:rPr>
        <w:t>t</w:t>
      </w:r>
      <w:r w:rsidR="005745D5">
        <w:rPr>
          <w:b/>
        </w:rPr>
        <w:t>welve</w:t>
      </w:r>
      <w:r w:rsidR="00070D06" w:rsidRPr="004030B8">
        <w:rPr>
          <w:b/>
        </w:rPr>
        <w:t xml:space="preserve"> (</w:t>
      </w:r>
      <w:r w:rsidR="00653A6D" w:rsidRPr="004030B8">
        <w:rPr>
          <w:b/>
        </w:rPr>
        <w:t>1</w:t>
      </w:r>
      <w:r w:rsidR="005745D5">
        <w:rPr>
          <w:b/>
        </w:rPr>
        <w:t>2</w:t>
      </w:r>
      <w:r w:rsidR="00070D06" w:rsidRPr="004030B8">
        <w:rPr>
          <w:b/>
        </w:rPr>
        <w:t>)</w:t>
      </w:r>
      <w:r w:rsidR="00083105" w:rsidRPr="004030B8">
        <w:rPr>
          <w:b/>
        </w:rPr>
        <w:t xml:space="preserve"> </w:t>
      </w:r>
      <w:r w:rsidR="006B54EB" w:rsidRPr="004030B8">
        <w:rPr>
          <w:b/>
        </w:rPr>
        <w:t>pages</w:t>
      </w:r>
      <w:r w:rsidR="00B178DF">
        <w:t xml:space="preserve">, </w:t>
      </w:r>
      <w:r w:rsidR="00B178DF" w:rsidRPr="00B178DF">
        <w:t>A4 size</w:t>
      </w:r>
      <w:r w:rsidR="00F80218">
        <w:t>, 25.4 mm margins all around.</w:t>
      </w:r>
      <w:r w:rsidR="005B79EC">
        <w:t xml:space="preserve"> </w:t>
      </w:r>
      <w:r w:rsidR="00F80218">
        <w:t xml:space="preserve">It </w:t>
      </w:r>
      <w:r w:rsidR="00A7163F">
        <w:t>is recommended size, d</w:t>
      </w:r>
      <w:r w:rsidR="00A7163F" w:rsidRPr="00A7163F">
        <w:t>ecisions related to breaking the limitation of the paper’s length will be on the scientific committee members and Symposium chair.</w:t>
      </w:r>
    </w:p>
    <w:p w14:paraId="3C2C7C45" w14:textId="52D760EC" w:rsidR="00B1273E" w:rsidRDefault="003F0418" w:rsidP="00ED1B88">
      <w:r>
        <w:t xml:space="preserve"> </w:t>
      </w:r>
    </w:p>
    <w:p w14:paraId="11A82E26" w14:textId="77777777" w:rsidR="0033178D" w:rsidRDefault="0033178D" w:rsidP="0033178D">
      <w:pPr>
        <w:rPr>
          <w:b/>
        </w:rPr>
      </w:pPr>
    </w:p>
    <w:p w14:paraId="7BFF1B6D" w14:textId="74318135" w:rsidR="00AB7375" w:rsidRDefault="00AB7375" w:rsidP="00B1273E">
      <w:pPr>
        <w:jc w:val="center"/>
        <w:rPr>
          <w:color w:val="0000FF"/>
          <w:u w:val="single"/>
          <w:lang w:eastAsia="zh-CN"/>
        </w:rPr>
      </w:pPr>
      <w:r w:rsidRPr="00B1273E">
        <w:rPr>
          <w:b/>
          <w:color w:val="0000FF"/>
        </w:rPr>
        <w:t>Deadline</w:t>
      </w:r>
      <w:r w:rsidR="00B1273E" w:rsidRPr="00B1273E">
        <w:rPr>
          <w:b/>
          <w:color w:val="0000FF"/>
        </w:rPr>
        <w:t xml:space="preserve"> for paper submission: </w:t>
      </w:r>
      <w:r w:rsidR="005745D5">
        <w:rPr>
          <w:color w:val="0000FF"/>
          <w:u w:val="single"/>
        </w:rPr>
        <w:t>February 15</w:t>
      </w:r>
      <w:r w:rsidRPr="00B1273E">
        <w:rPr>
          <w:color w:val="0000FF"/>
          <w:u w:val="single"/>
        </w:rPr>
        <w:t>, 20</w:t>
      </w:r>
      <w:r w:rsidRPr="00B1273E">
        <w:rPr>
          <w:color w:val="0000FF"/>
          <w:u w:val="single"/>
          <w:lang w:eastAsia="zh-CN"/>
        </w:rPr>
        <w:t>2</w:t>
      </w:r>
      <w:r w:rsidR="00560968">
        <w:rPr>
          <w:color w:val="0000FF"/>
          <w:u w:val="single"/>
          <w:lang w:eastAsia="zh-CN"/>
        </w:rPr>
        <w:t>4</w:t>
      </w:r>
    </w:p>
    <w:p w14:paraId="06A4ED40" w14:textId="72ABF890" w:rsidR="005745D5" w:rsidRPr="005745D5" w:rsidRDefault="005745D5" w:rsidP="00B1273E">
      <w:pPr>
        <w:jc w:val="center"/>
        <w:rPr>
          <w:b/>
          <w:color w:val="0000FF"/>
        </w:rPr>
      </w:pPr>
      <w:r w:rsidRPr="005745D5">
        <w:rPr>
          <w:b/>
          <w:color w:val="0000FF"/>
        </w:rPr>
        <w:t xml:space="preserve">Final paper submission after review </w:t>
      </w:r>
      <w:r w:rsidRPr="005745D5">
        <w:rPr>
          <w:color w:val="0000FF"/>
          <w:u w:val="single"/>
        </w:rPr>
        <w:t>April 15, 2024</w:t>
      </w:r>
    </w:p>
    <w:sectPr w:rsidR="005745D5" w:rsidRPr="005745D5" w:rsidSect="00F91272">
      <w:pgSz w:w="11900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59E97" w14:textId="77777777" w:rsidR="006672B9" w:rsidRDefault="006672B9" w:rsidP="00CD3F56">
      <w:r>
        <w:separator/>
      </w:r>
    </w:p>
  </w:endnote>
  <w:endnote w:type="continuationSeparator" w:id="0">
    <w:p w14:paraId="609578A9" w14:textId="77777777" w:rsidR="006672B9" w:rsidRDefault="006672B9" w:rsidP="00CD3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9965406"/>
      <w:docPartObj>
        <w:docPartGallery w:val="Page Numbers (Bottom of Page)"/>
        <w:docPartUnique/>
      </w:docPartObj>
    </w:sdtPr>
    <w:sdtEndPr>
      <w:rPr>
        <w:noProof/>
        <w:sz w:val="22"/>
      </w:rPr>
    </w:sdtEndPr>
    <w:sdtContent>
      <w:p w14:paraId="600DBE9A" w14:textId="77777777" w:rsidR="000E4D92" w:rsidRPr="006313C4" w:rsidRDefault="000E4D92">
        <w:pPr>
          <w:pStyle w:val="Stopka"/>
          <w:jc w:val="center"/>
          <w:rPr>
            <w:sz w:val="22"/>
          </w:rPr>
        </w:pPr>
        <w:r w:rsidRPr="006313C4">
          <w:rPr>
            <w:sz w:val="22"/>
          </w:rPr>
          <w:fldChar w:fldCharType="begin"/>
        </w:r>
        <w:r w:rsidRPr="006313C4">
          <w:rPr>
            <w:sz w:val="22"/>
          </w:rPr>
          <w:instrText xml:space="preserve"> PAGE   \* MERGEFORMAT </w:instrText>
        </w:r>
        <w:r w:rsidRPr="006313C4">
          <w:rPr>
            <w:sz w:val="22"/>
          </w:rPr>
          <w:fldChar w:fldCharType="separate"/>
        </w:r>
        <w:r w:rsidR="00560968">
          <w:rPr>
            <w:noProof/>
            <w:sz w:val="22"/>
          </w:rPr>
          <w:t>2</w:t>
        </w:r>
        <w:r w:rsidRPr="006313C4">
          <w:rPr>
            <w:noProof/>
            <w:sz w:val="22"/>
          </w:rPr>
          <w:fldChar w:fldCharType="end"/>
        </w:r>
      </w:p>
    </w:sdtContent>
  </w:sdt>
  <w:p w14:paraId="0A5600E6" w14:textId="77777777" w:rsidR="000E4D92" w:rsidRDefault="000E4D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2C485" w14:textId="77777777" w:rsidR="006672B9" w:rsidRDefault="006672B9" w:rsidP="00CD3F56">
      <w:r>
        <w:separator/>
      </w:r>
    </w:p>
  </w:footnote>
  <w:footnote w:type="continuationSeparator" w:id="0">
    <w:p w14:paraId="4B7082C9" w14:textId="77777777" w:rsidR="006672B9" w:rsidRDefault="006672B9" w:rsidP="00CD3F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11C81"/>
    <w:multiLevelType w:val="hybridMultilevel"/>
    <w:tmpl w:val="FEE64E0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2B884879"/>
    <w:multiLevelType w:val="hybridMultilevel"/>
    <w:tmpl w:val="FEE64E0A"/>
    <w:lvl w:ilvl="0" w:tplc="5E80F3A0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 w16cid:durableId="1029523477">
    <w:abstractNumId w:val="1"/>
  </w:num>
  <w:num w:numId="2" w16cid:durableId="802770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140"/>
    <w:rsid w:val="0003139E"/>
    <w:rsid w:val="000516E9"/>
    <w:rsid w:val="00066482"/>
    <w:rsid w:val="00070D06"/>
    <w:rsid w:val="000757FB"/>
    <w:rsid w:val="00083105"/>
    <w:rsid w:val="000E4D92"/>
    <w:rsid w:val="000F7CAA"/>
    <w:rsid w:val="00184D7B"/>
    <w:rsid w:val="001B7AEF"/>
    <w:rsid w:val="00202A98"/>
    <w:rsid w:val="002320EE"/>
    <w:rsid w:val="00233CF1"/>
    <w:rsid w:val="0024279D"/>
    <w:rsid w:val="00252A01"/>
    <w:rsid w:val="00256366"/>
    <w:rsid w:val="002A0449"/>
    <w:rsid w:val="002B2CF8"/>
    <w:rsid w:val="002C1275"/>
    <w:rsid w:val="002D4D61"/>
    <w:rsid w:val="002E7B14"/>
    <w:rsid w:val="002E7BA2"/>
    <w:rsid w:val="002F1210"/>
    <w:rsid w:val="00307C7A"/>
    <w:rsid w:val="0033178D"/>
    <w:rsid w:val="0038376B"/>
    <w:rsid w:val="0038520A"/>
    <w:rsid w:val="003B277A"/>
    <w:rsid w:val="003B43EE"/>
    <w:rsid w:val="003B7B7E"/>
    <w:rsid w:val="003E709C"/>
    <w:rsid w:val="003F0418"/>
    <w:rsid w:val="003F4AF2"/>
    <w:rsid w:val="004030B8"/>
    <w:rsid w:val="004200E6"/>
    <w:rsid w:val="00445C58"/>
    <w:rsid w:val="004506DA"/>
    <w:rsid w:val="004C728C"/>
    <w:rsid w:val="004E469B"/>
    <w:rsid w:val="00513983"/>
    <w:rsid w:val="00537FDB"/>
    <w:rsid w:val="00560968"/>
    <w:rsid w:val="005745D5"/>
    <w:rsid w:val="0058029D"/>
    <w:rsid w:val="005A2F39"/>
    <w:rsid w:val="005B44E9"/>
    <w:rsid w:val="005B79EC"/>
    <w:rsid w:val="005C63F7"/>
    <w:rsid w:val="005D7B6A"/>
    <w:rsid w:val="005E139B"/>
    <w:rsid w:val="00607DC5"/>
    <w:rsid w:val="006117D8"/>
    <w:rsid w:val="006313C4"/>
    <w:rsid w:val="00653A6D"/>
    <w:rsid w:val="00664F39"/>
    <w:rsid w:val="006672B9"/>
    <w:rsid w:val="00676295"/>
    <w:rsid w:val="00696CBD"/>
    <w:rsid w:val="006B54EB"/>
    <w:rsid w:val="006D4178"/>
    <w:rsid w:val="006E153B"/>
    <w:rsid w:val="007124D6"/>
    <w:rsid w:val="007134E7"/>
    <w:rsid w:val="0071477D"/>
    <w:rsid w:val="0075109A"/>
    <w:rsid w:val="00764FA2"/>
    <w:rsid w:val="00772632"/>
    <w:rsid w:val="00781D59"/>
    <w:rsid w:val="00784CBA"/>
    <w:rsid w:val="007B2B5B"/>
    <w:rsid w:val="007C0793"/>
    <w:rsid w:val="007E2B0F"/>
    <w:rsid w:val="007E4104"/>
    <w:rsid w:val="0082236C"/>
    <w:rsid w:val="008479A5"/>
    <w:rsid w:val="00857223"/>
    <w:rsid w:val="0088721C"/>
    <w:rsid w:val="0089086B"/>
    <w:rsid w:val="008B31FA"/>
    <w:rsid w:val="008C7D60"/>
    <w:rsid w:val="00912585"/>
    <w:rsid w:val="009221C2"/>
    <w:rsid w:val="00940C61"/>
    <w:rsid w:val="00976105"/>
    <w:rsid w:val="0099377C"/>
    <w:rsid w:val="009E1BF4"/>
    <w:rsid w:val="009E42DD"/>
    <w:rsid w:val="00A22877"/>
    <w:rsid w:val="00A37F6B"/>
    <w:rsid w:val="00A46164"/>
    <w:rsid w:val="00A7163F"/>
    <w:rsid w:val="00A75740"/>
    <w:rsid w:val="00A75AF6"/>
    <w:rsid w:val="00A7615F"/>
    <w:rsid w:val="00A86996"/>
    <w:rsid w:val="00AB3DD8"/>
    <w:rsid w:val="00AB71ED"/>
    <w:rsid w:val="00AB7375"/>
    <w:rsid w:val="00AC1BB9"/>
    <w:rsid w:val="00AC46D7"/>
    <w:rsid w:val="00B11C31"/>
    <w:rsid w:val="00B1273E"/>
    <w:rsid w:val="00B178DF"/>
    <w:rsid w:val="00B71140"/>
    <w:rsid w:val="00B96D70"/>
    <w:rsid w:val="00C2448A"/>
    <w:rsid w:val="00C50316"/>
    <w:rsid w:val="00C521FD"/>
    <w:rsid w:val="00C57FF8"/>
    <w:rsid w:val="00C622A4"/>
    <w:rsid w:val="00C7385C"/>
    <w:rsid w:val="00C8042E"/>
    <w:rsid w:val="00C97ACD"/>
    <w:rsid w:val="00CD3F56"/>
    <w:rsid w:val="00D0417C"/>
    <w:rsid w:val="00D06A45"/>
    <w:rsid w:val="00D11BDB"/>
    <w:rsid w:val="00D12BAC"/>
    <w:rsid w:val="00D20B9B"/>
    <w:rsid w:val="00D55D04"/>
    <w:rsid w:val="00D605C3"/>
    <w:rsid w:val="00D7475B"/>
    <w:rsid w:val="00DF39F7"/>
    <w:rsid w:val="00E235C1"/>
    <w:rsid w:val="00E23B0B"/>
    <w:rsid w:val="00E4635B"/>
    <w:rsid w:val="00E64667"/>
    <w:rsid w:val="00ED1B88"/>
    <w:rsid w:val="00ED4BAF"/>
    <w:rsid w:val="00EF2D00"/>
    <w:rsid w:val="00EF769A"/>
    <w:rsid w:val="00F124F7"/>
    <w:rsid w:val="00F63EFA"/>
    <w:rsid w:val="00F763C0"/>
    <w:rsid w:val="00F80218"/>
    <w:rsid w:val="00F80429"/>
    <w:rsid w:val="00F91272"/>
    <w:rsid w:val="00FE50F1"/>
    <w:rsid w:val="00FE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2CC488"/>
  <w15:chartTrackingRefBased/>
  <w15:docId w15:val="{3F6AA7A7-C9BA-4E4B-B0FA-81D7B30DA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96CBD"/>
    <w:pPr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qFormat/>
    <w:rsid w:val="00857223"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Nagwek2">
    <w:name w:val="heading 2"/>
    <w:basedOn w:val="Normalny"/>
    <w:next w:val="Normalny"/>
    <w:qFormat/>
    <w:rsid w:val="00857223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Nagwek3">
    <w:name w:val="heading 3"/>
    <w:basedOn w:val="Normalny"/>
    <w:next w:val="Normalny"/>
    <w:qFormat/>
    <w:rsid w:val="00857223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quation">
    <w:name w:val="Equation"/>
    <w:basedOn w:val="Normalny"/>
    <w:rsid w:val="00ED1B88"/>
    <w:pPr>
      <w:tabs>
        <w:tab w:val="right" w:pos="9360"/>
      </w:tabs>
      <w:ind w:left="720"/>
    </w:pPr>
  </w:style>
  <w:style w:type="paragraph" w:customStyle="1" w:styleId="Reference">
    <w:name w:val="Reference"/>
    <w:basedOn w:val="Normalny"/>
    <w:rsid w:val="00ED1B88"/>
    <w:pPr>
      <w:ind w:left="720" w:hanging="720"/>
    </w:pPr>
  </w:style>
  <w:style w:type="character" w:styleId="Hipercze">
    <w:name w:val="Hyperlink"/>
    <w:rsid w:val="005B79EC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0831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083105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rsid w:val="000E4D92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rsid w:val="000E4D9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E4D92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4D9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3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2754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Initially, the Committee’s work focused on the hydraulic aspects of river ice phenomena, as a means of elucidating the effects</vt:lpstr>
      <vt:lpstr>Initially, the Committee’s work focused on the hydraulic aspects of river ice phenomena, as a means of elucidating the effects</vt:lpstr>
    </vt:vector>
  </TitlesOfParts>
  <Company>University of Alberta</Company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Initially, the Committee’s work focused on the hydraulic aspects of river ice phenomena, as a means of elucidating the effects</dc:title>
  <dc:subject/>
  <dc:creator>Faye Hicks</dc:creator>
  <cp:keywords/>
  <cp:lastModifiedBy>Tomasz Kolerski</cp:lastModifiedBy>
  <cp:revision>2</cp:revision>
  <cp:lastPrinted>2014-01-26T18:45:00Z</cp:lastPrinted>
  <dcterms:created xsi:type="dcterms:W3CDTF">2023-07-31T09:49:00Z</dcterms:created>
  <dcterms:modified xsi:type="dcterms:W3CDTF">2023-07-31T09:49:00Z</dcterms:modified>
</cp:coreProperties>
</file>